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F3CC8" w14:textId="789E3B7F" w:rsidR="00C65E30" w:rsidRDefault="00A57898">
      <w:r>
        <w:rPr>
          <w:noProof/>
        </w:rPr>
        <w:drawing>
          <wp:anchor distT="0" distB="0" distL="114300" distR="114300" simplePos="0" relativeHeight="251658240" behindDoc="0" locked="0" layoutInCell="1" allowOverlap="1" wp14:anchorId="695D679A" wp14:editId="12626271">
            <wp:simplePos x="0" y="0"/>
            <wp:positionH relativeFrom="margin">
              <wp:align>center</wp:align>
            </wp:positionH>
            <wp:positionV relativeFrom="margin">
              <wp:align>top</wp:align>
            </wp:positionV>
            <wp:extent cx="4386943" cy="2506963"/>
            <wp:effectExtent l="0" t="0" r="0" b="0"/>
            <wp:wrapSquare wrapText="bothSides"/>
            <wp:docPr id="535505017" name="Picture 1" descr="A close-up of a lips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05017" name="Picture 1" descr="A close-up of a lips prin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386943" cy="2506963"/>
                    </a:xfrm>
                    <a:prstGeom prst="rect">
                      <a:avLst/>
                    </a:prstGeom>
                  </pic:spPr>
                </pic:pic>
              </a:graphicData>
            </a:graphic>
          </wp:anchor>
        </w:drawing>
      </w:r>
    </w:p>
    <w:p w14:paraId="0C7E0237" w14:textId="77777777" w:rsidR="00A57898" w:rsidRPr="00A57898" w:rsidRDefault="00A57898" w:rsidP="00A57898"/>
    <w:p w14:paraId="70533C4D" w14:textId="77777777" w:rsidR="00A57898" w:rsidRPr="00A57898" w:rsidRDefault="00A57898" w:rsidP="00A57898"/>
    <w:p w14:paraId="001CEE27" w14:textId="77777777" w:rsidR="00A57898" w:rsidRPr="00A57898" w:rsidRDefault="00A57898" w:rsidP="00A57898"/>
    <w:p w14:paraId="367DC247" w14:textId="77777777" w:rsidR="00A57898" w:rsidRPr="00A57898" w:rsidRDefault="00A57898" w:rsidP="00A57898"/>
    <w:p w14:paraId="4EC28D0E" w14:textId="77777777" w:rsidR="00A57898" w:rsidRPr="00A57898" w:rsidRDefault="00A57898" w:rsidP="00A57898"/>
    <w:p w14:paraId="56F04BE7" w14:textId="77777777" w:rsidR="00A57898" w:rsidRPr="00A57898" w:rsidRDefault="00A57898" w:rsidP="00A57898"/>
    <w:p w14:paraId="265B3F4E" w14:textId="77777777" w:rsidR="00A57898" w:rsidRPr="00A57898" w:rsidRDefault="00A57898" w:rsidP="00A57898"/>
    <w:p w14:paraId="117941DA" w14:textId="77777777" w:rsidR="00A57898" w:rsidRPr="00A57898" w:rsidRDefault="00A57898" w:rsidP="00A57898"/>
    <w:p w14:paraId="764D5E8B" w14:textId="77777777" w:rsidR="00A57898" w:rsidRPr="00A57898" w:rsidRDefault="00A57898" w:rsidP="00A57898"/>
    <w:p w14:paraId="2089E5B5" w14:textId="77777777" w:rsidR="00A57898" w:rsidRPr="00A57898" w:rsidRDefault="00A57898" w:rsidP="00A57898"/>
    <w:p w14:paraId="1726BDC1" w14:textId="77777777" w:rsidR="00A57898" w:rsidRPr="00A57898" w:rsidRDefault="00A57898" w:rsidP="00A57898"/>
    <w:p w14:paraId="73D4D7BC" w14:textId="77777777" w:rsidR="00A57898" w:rsidRPr="00A57898" w:rsidRDefault="00A57898" w:rsidP="00A57898"/>
    <w:p w14:paraId="13FBE519" w14:textId="77777777" w:rsidR="00A57898" w:rsidRPr="00A57898" w:rsidRDefault="00A57898" w:rsidP="00A57898"/>
    <w:p w14:paraId="64865AA1" w14:textId="77777777" w:rsidR="00A57898" w:rsidRDefault="00A57898" w:rsidP="00A57898"/>
    <w:p w14:paraId="3A676F1C" w14:textId="5EE3986A" w:rsidR="00A57898" w:rsidRDefault="00A57898" w:rsidP="00A57898">
      <w:pPr>
        <w:jc w:val="center"/>
        <w:rPr>
          <w:u w:val="single"/>
        </w:rPr>
      </w:pPr>
      <w:r>
        <w:rPr>
          <w:u w:val="single"/>
        </w:rPr>
        <w:t>Use of Bacteriostatic Saline in reconstitution of Botulism Toxin</w:t>
      </w:r>
    </w:p>
    <w:p w14:paraId="2C22A08D" w14:textId="77777777" w:rsidR="00A57898" w:rsidRDefault="00A57898" w:rsidP="00A57898">
      <w:pPr>
        <w:jc w:val="center"/>
        <w:rPr>
          <w:u w:val="single"/>
        </w:rPr>
      </w:pPr>
    </w:p>
    <w:p w14:paraId="185DCD78" w14:textId="77777777" w:rsidR="00A57898" w:rsidRDefault="00A57898" w:rsidP="00A57898">
      <w:pPr>
        <w:jc w:val="center"/>
        <w:rPr>
          <w:u w:val="single"/>
        </w:rPr>
      </w:pPr>
    </w:p>
    <w:p w14:paraId="5CB757F6" w14:textId="352A7BE4" w:rsidR="00A57898" w:rsidRDefault="00A57898" w:rsidP="00A57898">
      <w:pPr>
        <w:jc w:val="center"/>
      </w:pPr>
      <w:r>
        <w:t>Refine Beauty Aesthetics</w:t>
      </w:r>
    </w:p>
    <w:p w14:paraId="55FF58AA" w14:textId="77777777" w:rsidR="00A57898" w:rsidRDefault="00A57898" w:rsidP="00A57898">
      <w:pPr>
        <w:jc w:val="center"/>
      </w:pPr>
    </w:p>
    <w:p w14:paraId="5926A624" w14:textId="67F53906" w:rsidR="00A57898" w:rsidRDefault="00A57898" w:rsidP="00A57898">
      <w:pPr>
        <w:jc w:val="center"/>
      </w:pPr>
      <w:r>
        <w:t>Date effective:</w:t>
      </w:r>
      <w:r w:rsidR="00C81011">
        <w:t xml:space="preserve"> </w:t>
      </w:r>
      <w:proofErr w:type="gramStart"/>
      <w:r w:rsidR="00C81011">
        <w:t>02/02/24</w:t>
      </w:r>
      <w:proofErr w:type="gramEnd"/>
    </w:p>
    <w:p w14:paraId="63D36CB6" w14:textId="3EE68E9A" w:rsidR="00A57898" w:rsidRDefault="00A57898" w:rsidP="00A57898">
      <w:pPr>
        <w:jc w:val="center"/>
      </w:pPr>
      <w:r>
        <w:t>Review date:</w:t>
      </w:r>
      <w:r w:rsidR="00C81011">
        <w:t xml:space="preserve"> </w:t>
      </w:r>
      <w:proofErr w:type="gramStart"/>
      <w:r w:rsidR="00C81011">
        <w:t>02/02/25</w:t>
      </w:r>
      <w:proofErr w:type="gramEnd"/>
    </w:p>
    <w:p w14:paraId="19C8F168" w14:textId="57CBACFE" w:rsidR="00A57898" w:rsidRDefault="00A57898" w:rsidP="00A57898">
      <w:pPr>
        <w:jc w:val="center"/>
      </w:pPr>
      <w:r>
        <w:t>Version no:</w:t>
      </w:r>
      <w:r w:rsidR="00C81011">
        <w:t xml:space="preserve"> 1</w:t>
      </w:r>
    </w:p>
    <w:p w14:paraId="18A35BF4" w14:textId="77777777" w:rsidR="00A57898" w:rsidRDefault="00A57898" w:rsidP="00A57898">
      <w:pPr>
        <w:jc w:val="center"/>
      </w:pPr>
      <w:r>
        <w:t>Policy Owner/Author: Robyn Duffy</w:t>
      </w:r>
    </w:p>
    <w:p w14:paraId="25BC7DD6" w14:textId="77777777" w:rsidR="00A57898" w:rsidRDefault="00A57898" w:rsidP="00A57898">
      <w:pPr>
        <w:jc w:val="center"/>
      </w:pPr>
    </w:p>
    <w:p w14:paraId="2F61A38A" w14:textId="77777777" w:rsidR="00A57898" w:rsidRDefault="00A57898" w:rsidP="00A57898">
      <w:pPr>
        <w:jc w:val="center"/>
      </w:pPr>
    </w:p>
    <w:p w14:paraId="52C3F229" w14:textId="77777777" w:rsidR="00A57898" w:rsidRDefault="00A57898" w:rsidP="00A57898">
      <w:pPr>
        <w:jc w:val="center"/>
      </w:pPr>
    </w:p>
    <w:p w14:paraId="75B3AC90" w14:textId="77777777" w:rsidR="00A57898" w:rsidRDefault="00A57898" w:rsidP="00A57898">
      <w:pPr>
        <w:jc w:val="center"/>
      </w:pPr>
    </w:p>
    <w:p w14:paraId="79A5ACED" w14:textId="77777777" w:rsidR="00A57898" w:rsidRDefault="00A57898" w:rsidP="00A57898">
      <w:pPr>
        <w:jc w:val="center"/>
      </w:pPr>
    </w:p>
    <w:p w14:paraId="582F26D2" w14:textId="77777777" w:rsidR="00A57898" w:rsidRDefault="00A57898" w:rsidP="00A57898">
      <w:pPr>
        <w:jc w:val="center"/>
      </w:pPr>
    </w:p>
    <w:p w14:paraId="7866D5BF" w14:textId="77777777" w:rsidR="00A57898" w:rsidRDefault="00A57898" w:rsidP="00A57898">
      <w:pPr>
        <w:jc w:val="center"/>
      </w:pPr>
    </w:p>
    <w:p w14:paraId="0502DC3B" w14:textId="77777777" w:rsidR="00A57898" w:rsidRDefault="00A57898" w:rsidP="00A57898">
      <w:pPr>
        <w:jc w:val="center"/>
      </w:pPr>
    </w:p>
    <w:p w14:paraId="546BB757" w14:textId="77777777" w:rsidR="00A57898" w:rsidRDefault="00A57898" w:rsidP="00A57898">
      <w:pPr>
        <w:jc w:val="center"/>
      </w:pPr>
    </w:p>
    <w:p w14:paraId="25DECAD1" w14:textId="77777777" w:rsidR="00A57898" w:rsidRDefault="00A57898" w:rsidP="00A57898">
      <w:pPr>
        <w:jc w:val="center"/>
      </w:pPr>
    </w:p>
    <w:p w14:paraId="72E6298F" w14:textId="77777777" w:rsidR="00A57898" w:rsidRDefault="00A57898" w:rsidP="00A57898">
      <w:pPr>
        <w:jc w:val="center"/>
      </w:pPr>
    </w:p>
    <w:p w14:paraId="48EA3EB2" w14:textId="77777777" w:rsidR="00A57898" w:rsidRDefault="00A57898" w:rsidP="00A57898">
      <w:pPr>
        <w:jc w:val="center"/>
      </w:pPr>
    </w:p>
    <w:p w14:paraId="4932EC7A" w14:textId="77777777" w:rsidR="00A57898" w:rsidRDefault="00A57898" w:rsidP="00A57898">
      <w:pPr>
        <w:jc w:val="center"/>
      </w:pPr>
    </w:p>
    <w:p w14:paraId="3915E309" w14:textId="77777777" w:rsidR="00A57898" w:rsidRDefault="00A57898" w:rsidP="00A57898">
      <w:pPr>
        <w:jc w:val="center"/>
      </w:pPr>
    </w:p>
    <w:p w14:paraId="5EE2F043" w14:textId="77777777" w:rsidR="00A57898" w:rsidRDefault="00A57898" w:rsidP="00A57898">
      <w:pPr>
        <w:jc w:val="center"/>
      </w:pPr>
    </w:p>
    <w:p w14:paraId="74E2ABA3" w14:textId="77777777" w:rsidR="00A57898" w:rsidRDefault="00A57898" w:rsidP="00A57898">
      <w:pPr>
        <w:jc w:val="center"/>
      </w:pPr>
    </w:p>
    <w:p w14:paraId="379F47B1" w14:textId="77777777" w:rsidR="00A57898" w:rsidRDefault="00A57898" w:rsidP="00A57898">
      <w:pPr>
        <w:jc w:val="center"/>
      </w:pPr>
    </w:p>
    <w:p w14:paraId="095CA0D2" w14:textId="77777777" w:rsidR="00A57898" w:rsidRDefault="00A57898" w:rsidP="00A57898">
      <w:pPr>
        <w:jc w:val="center"/>
      </w:pPr>
    </w:p>
    <w:p w14:paraId="2312BFA8" w14:textId="77777777" w:rsidR="00A57898" w:rsidRDefault="00A57898" w:rsidP="00A57898">
      <w:pPr>
        <w:jc w:val="center"/>
      </w:pPr>
    </w:p>
    <w:p w14:paraId="79679DB0" w14:textId="77777777" w:rsidR="00A57898" w:rsidRDefault="00A57898" w:rsidP="00A57898">
      <w:pPr>
        <w:jc w:val="center"/>
      </w:pPr>
    </w:p>
    <w:p w14:paraId="43EC26F2" w14:textId="77777777" w:rsidR="00A57898" w:rsidRDefault="00A57898" w:rsidP="00A57898">
      <w:pPr>
        <w:jc w:val="center"/>
      </w:pPr>
    </w:p>
    <w:p w14:paraId="4F1FE1C1" w14:textId="77777777" w:rsidR="00A57898" w:rsidRDefault="00A57898" w:rsidP="00A57898">
      <w:pPr>
        <w:jc w:val="center"/>
      </w:pPr>
    </w:p>
    <w:p w14:paraId="37D718C0" w14:textId="77777777" w:rsidR="00A57898" w:rsidRDefault="00A57898" w:rsidP="00A57898">
      <w:pPr>
        <w:jc w:val="center"/>
      </w:pPr>
    </w:p>
    <w:p w14:paraId="30489221" w14:textId="77777777" w:rsidR="00A57898" w:rsidRDefault="00A57898" w:rsidP="00A57898">
      <w:pPr>
        <w:jc w:val="center"/>
      </w:pPr>
    </w:p>
    <w:p w14:paraId="4EADAEF4" w14:textId="698FCDAF" w:rsidR="00A57898" w:rsidRDefault="00A57898" w:rsidP="00A57898">
      <w:pPr>
        <w:rPr>
          <w:u w:val="single"/>
        </w:rPr>
      </w:pPr>
      <w:r>
        <w:rPr>
          <w:u w:val="single"/>
        </w:rPr>
        <w:t>Clinical decision and foresight to use unlicensed Bacteriostatic Sodium Chloride Solution in reconstitution of Botulism Toxin Type A:</w:t>
      </w:r>
    </w:p>
    <w:p w14:paraId="44FFA911" w14:textId="77777777" w:rsidR="00A57898" w:rsidRDefault="00A57898" w:rsidP="00A57898">
      <w:pPr>
        <w:rPr>
          <w:u w:val="single"/>
        </w:rPr>
      </w:pPr>
    </w:p>
    <w:p w14:paraId="3CC004D3" w14:textId="692F1651" w:rsidR="00A57898" w:rsidRDefault="00A57898" w:rsidP="00A57898">
      <w:r>
        <w:t xml:space="preserve">This policy is an add on to the medications management policy created by Refine Beauty Aesthetics. </w:t>
      </w:r>
    </w:p>
    <w:p w14:paraId="71FC8BAA" w14:textId="77777777" w:rsidR="00A57898" w:rsidRDefault="00A57898" w:rsidP="00A57898"/>
    <w:p w14:paraId="558B2138" w14:textId="543B3C61" w:rsidR="00A57898" w:rsidRDefault="00A57898" w:rsidP="00A57898">
      <w:r>
        <w:t>Refine Beauty Aesthetics uses Botox</w:t>
      </w:r>
      <w:r>
        <w:sym w:font="Symbol" w:char="F0D2"/>
      </w:r>
      <w:r>
        <w:t xml:space="preserve"> and Azzalure</w:t>
      </w:r>
      <w:r w:rsidR="00386F5F">
        <w:sym w:font="Symbol" w:char="F0D2"/>
      </w:r>
      <w:r>
        <w:t xml:space="preserve"> in the clinic dependent on which area of the face is being treated. Azzalure</w:t>
      </w:r>
      <w:r w:rsidR="00386F5F">
        <w:sym w:font="Symbol" w:char="F0D2"/>
      </w:r>
      <w:r>
        <w:t xml:space="preserve"> in licensed in the UK for upper face cosmetic treatments, whilst Botox</w:t>
      </w:r>
      <w:r>
        <w:sym w:font="Symbol" w:char="F0D2"/>
      </w:r>
      <w:r>
        <w:t xml:space="preserve"> is licensed for </w:t>
      </w:r>
      <w:r w:rsidR="00386F5F">
        <w:t>the upper and lower parts of the face. Manufacturer guidelines for reconstitution of both Botox</w:t>
      </w:r>
      <w:r w:rsidR="00386F5F">
        <w:sym w:font="Symbol" w:char="F0D2"/>
      </w:r>
      <w:r w:rsidR="00386F5F">
        <w:t xml:space="preserve"> and Azzalure</w:t>
      </w:r>
      <w:r w:rsidR="00386F5F">
        <w:sym w:font="Symbol" w:char="F0D2"/>
      </w:r>
      <w:r w:rsidR="00386F5F">
        <w:t xml:space="preserve"> are to use non-preserved 0.9% sodium </w:t>
      </w:r>
      <w:r w:rsidR="00D30567">
        <w:t>chloride,</w:t>
      </w:r>
      <w:r w:rsidR="00386F5F">
        <w:t xml:space="preserve"> however, Refine Beauty Aesthetics has made the clinical judgement to use bacteriostatic saline for reconstitution which is an unlicensed product. 0.9% bacteriostatic saline (Tor-bac</w:t>
      </w:r>
      <w:r w:rsidR="00386F5F">
        <w:sym w:font="Symbol" w:char="F0D2"/>
      </w:r>
      <w:r w:rsidR="00386F5F">
        <w:t>) is unlicenced in the UK.</w:t>
      </w:r>
    </w:p>
    <w:p w14:paraId="5F62C3C3" w14:textId="77777777" w:rsidR="00386F5F" w:rsidRDefault="00386F5F" w:rsidP="00A57898"/>
    <w:p w14:paraId="07F03819" w14:textId="354BCC2E" w:rsidR="00386F5F" w:rsidRDefault="00386F5F" w:rsidP="00A57898">
      <w:r>
        <w:t xml:space="preserve">Unlicensed medications may be prescribed for an individual patient based on a thorough assessment and face to face consultation by a suitably qualified practitioner. </w:t>
      </w:r>
      <w:r w:rsidR="00E017C4">
        <w:t xml:space="preserve">This practitioner can conclude that the unlicensed medication would benefit the patient and meet their needs based on medical knowledge, </w:t>
      </w:r>
      <w:r w:rsidR="00D30567">
        <w:t>experience,</w:t>
      </w:r>
      <w:r w:rsidR="00E017C4">
        <w:t xml:space="preserve"> and judgement. Unlicensed medications can be used when licensed medications are not available that will meet the needs of the patient which could be minimizing pain or discomfort. </w:t>
      </w:r>
    </w:p>
    <w:p w14:paraId="75FCCE39" w14:textId="77777777" w:rsidR="00E017C4" w:rsidRDefault="00E017C4" w:rsidP="00A57898"/>
    <w:p w14:paraId="1DD07F4B" w14:textId="0A162881" w:rsidR="00E017C4" w:rsidRDefault="00E017C4" w:rsidP="00A57898">
      <w:r>
        <w:t xml:space="preserve">Refine Beauty Aesthetics is satisfied that there is sufficient evidence and experience to demonstrate the </w:t>
      </w:r>
      <w:r w:rsidR="00D30567">
        <w:t>efficacy</w:t>
      </w:r>
      <w:r>
        <w:t xml:space="preserve"> of bacteriostatic saline and takes full responsibility for prescribing the medication. RBA also takes full responsibility for the patient’s care, treatment, monitoring and follow up. </w:t>
      </w:r>
    </w:p>
    <w:p w14:paraId="688E9254" w14:textId="77777777" w:rsidR="00E017C4" w:rsidRDefault="00E017C4" w:rsidP="00A57898"/>
    <w:p w14:paraId="038471C9" w14:textId="320558BD" w:rsidR="00E017C4" w:rsidRDefault="00E017C4" w:rsidP="00A57898">
      <w:r>
        <w:t xml:space="preserve">Refine Beauty Aesthetics documents all medications used within each </w:t>
      </w:r>
      <w:r w:rsidR="00D30567">
        <w:t>client’s</w:t>
      </w:r>
      <w:r>
        <w:t xml:space="preserve"> profile on </w:t>
      </w:r>
      <w:proofErr w:type="spellStart"/>
      <w:r>
        <w:t>Fresha</w:t>
      </w:r>
      <w:proofErr w:type="spellEnd"/>
      <w:r>
        <w:t xml:space="preserve">, including the medicine prescribed, batch number, expiry date and reason for use. </w:t>
      </w:r>
    </w:p>
    <w:p w14:paraId="30EB015B" w14:textId="77777777" w:rsidR="00E017C4" w:rsidRDefault="00E017C4" w:rsidP="00A57898"/>
    <w:p w14:paraId="06387A9C" w14:textId="2578CB01" w:rsidR="00E017C4" w:rsidRDefault="00E017C4" w:rsidP="00A57898">
      <w:r>
        <w:t xml:space="preserve">When a patient expresses a wish to book a treatment consisting of Botulism Toxin injections, a form consisting of information regarding Bacteriostatic saline will be sent alongside their consent and medical history forms. This is to ensure they are aware of the use of an unlicensed product and the reason for this. Patients can ask any potential questions they have before treatment and can request to use 0.9% sodium chloride instead. On the form an option for product to be used will be provided. The clinic holds stock of 0.9% sodium chloride. </w:t>
      </w:r>
    </w:p>
    <w:p w14:paraId="67708E81" w14:textId="77777777" w:rsidR="00AA335E" w:rsidRDefault="00AA335E" w:rsidP="00A57898"/>
    <w:p w14:paraId="0487DE04" w14:textId="75BF99F7" w:rsidR="00AA335E" w:rsidRDefault="00AA335E" w:rsidP="00A57898">
      <w:r>
        <w:t xml:space="preserve">Refine Beauty Aesthetics has made the decision to use bacteriostatic saline as it significantly reduces pain on injection compared to 0.9% sodium chloride. As nurses, our first and foremost responsibility is to “do no harm” to patients. Reducing pain to a patient is therefore ensuring this is upheld in a safe manner. </w:t>
      </w:r>
    </w:p>
    <w:p w14:paraId="78262F80" w14:textId="77777777" w:rsidR="00AA335E" w:rsidRDefault="00AA335E" w:rsidP="00A57898"/>
    <w:p w14:paraId="01F2DF36" w14:textId="62CFDFFF" w:rsidR="00D30567" w:rsidRPr="00D30567" w:rsidRDefault="00AA335E" w:rsidP="00A57898">
      <w:r>
        <w:t xml:space="preserve">Many clinical trials and papers written to support this, and in the use of bacteriostatic saline in reconstitution of Botulism Toxin Type A with focus on </w:t>
      </w:r>
      <w:r w:rsidR="00D30567">
        <w:t>efficacy</w:t>
      </w:r>
      <w:r>
        <w:t xml:space="preserve">, safety and reducing pain on injection site. Below are some of the supporting </w:t>
      </w:r>
      <w:r w:rsidR="00D30567">
        <w:t>evidences</w:t>
      </w:r>
      <w:r>
        <w:t>.</w:t>
      </w:r>
    </w:p>
    <w:p w14:paraId="5D69C061" w14:textId="77777777" w:rsidR="00D30567" w:rsidRDefault="00D30567" w:rsidP="00A57898">
      <w:pPr>
        <w:rPr>
          <w:rFonts w:ascii="Source Sans Pro" w:hAnsi="Source Sans Pro"/>
          <w:color w:val="3A3A3A"/>
          <w:sz w:val="23"/>
          <w:szCs w:val="23"/>
          <w:shd w:val="clear" w:color="auto" w:fill="FFFFFF"/>
        </w:rPr>
      </w:pPr>
    </w:p>
    <w:p w14:paraId="3D06380F" w14:textId="77777777" w:rsidR="00D30567" w:rsidRDefault="00D30567" w:rsidP="00A57898">
      <w:pPr>
        <w:rPr>
          <w:rFonts w:ascii="Source Sans Pro" w:hAnsi="Source Sans Pro"/>
          <w:color w:val="3A3A3A"/>
          <w:sz w:val="23"/>
          <w:szCs w:val="23"/>
          <w:shd w:val="clear" w:color="auto" w:fill="FFFFFF"/>
        </w:rPr>
      </w:pPr>
      <w:r>
        <w:rPr>
          <w:rFonts w:ascii="Source Sans Pro" w:hAnsi="Source Sans Pro"/>
          <w:color w:val="3A3A3A"/>
          <w:sz w:val="23"/>
          <w:szCs w:val="23"/>
          <w:shd w:val="clear" w:color="auto" w:fill="FFFFFF"/>
        </w:rPr>
        <w:t xml:space="preserve">Allen, S.B. and Goldenberg, N.A. (2012) ‘Pain Difference Associated with Injection of </w:t>
      </w:r>
      <w:proofErr w:type="spellStart"/>
      <w:r>
        <w:rPr>
          <w:rFonts w:ascii="Source Sans Pro" w:hAnsi="Source Sans Pro"/>
          <w:color w:val="3A3A3A"/>
          <w:sz w:val="23"/>
          <w:szCs w:val="23"/>
          <w:shd w:val="clear" w:color="auto" w:fill="FFFFFF"/>
        </w:rPr>
        <w:t>AbobotulinumtoxinA</w:t>
      </w:r>
      <w:proofErr w:type="spellEnd"/>
      <w:r>
        <w:rPr>
          <w:rFonts w:ascii="Source Sans Pro" w:hAnsi="Source Sans Pro"/>
          <w:color w:val="3A3A3A"/>
          <w:sz w:val="23"/>
          <w:szCs w:val="23"/>
          <w:shd w:val="clear" w:color="auto" w:fill="FFFFFF"/>
        </w:rPr>
        <w:t xml:space="preserve"> Reconstituted with Preserved Saline and Preservative</w:t>
      </w:r>
      <w:r>
        <w:rPr>
          <w:rFonts w:ascii="Cambria Math" w:hAnsi="Cambria Math" w:cs="Cambria Math"/>
          <w:color w:val="3A3A3A"/>
          <w:sz w:val="23"/>
          <w:szCs w:val="23"/>
          <w:shd w:val="clear" w:color="auto" w:fill="FFFFFF"/>
        </w:rPr>
        <w:t>‐</w:t>
      </w:r>
      <w:r>
        <w:rPr>
          <w:rFonts w:ascii="Source Sans Pro" w:hAnsi="Source Sans Pro"/>
          <w:color w:val="3A3A3A"/>
          <w:sz w:val="23"/>
          <w:szCs w:val="23"/>
          <w:shd w:val="clear" w:color="auto" w:fill="FFFFFF"/>
        </w:rPr>
        <w:t>Free Saline: A Prospective, Randomized, Side</w:t>
      </w:r>
      <w:r>
        <w:rPr>
          <w:rFonts w:ascii="Cambria Math" w:hAnsi="Cambria Math" w:cs="Cambria Math"/>
          <w:color w:val="3A3A3A"/>
          <w:sz w:val="23"/>
          <w:szCs w:val="23"/>
          <w:shd w:val="clear" w:color="auto" w:fill="FFFFFF"/>
        </w:rPr>
        <w:t>‐</w:t>
      </w:r>
      <w:r>
        <w:rPr>
          <w:rFonts w:ascii="Source Sans Pro" w:hAnsi="Source Sans Pro"/>
          <w:color w:val="3A3A3A"/>
          <w:sz w:val="23"/>
          <w:szCs w:val="23"/>
          <w:shd w:val="clear" w:color="auto" w:fill="FFFFFF"/>
        </w:rPr>
        <w:t>by</w:t>
      </w:r>
      <w:r>
        <w:rPr>
          <w:rFonts w:ascii="Cambria Math" w:hAnsi="Cambria Math" w:cs="Cambria Math"/>
          <w:color w:val="3A3A3A"/>
          <w:sz w:val="23"/>
          <w:szCs w:val="23"/>
          <w:shd w:val="clear" w:color="auto" w:fill="FFFFFF"/>
        </w:rPr>
        <w:t>‐</w:t>
      </w:r>
      <w:r>
        <w:rPr>
          <w:rFonts w:ascii="Source Sans Pro" w:hAnsi="Source Sans Pro"/>
          <w:color w:val="3A3A3A"/>
          <w:sz w:val="23"/>
          <w:szCs w:val="23"/>
          <w:shd w:val="clear" w:color="auto" w:fill="FFFFFF"/>
        </w:rPr>
        <w:t>Side, Double</w:t>
      </w:r>
      <w:r>
        <w:rPr>
          <w:rFonts w:ascii="Cambria Math" w:hAnsi="Cambria Math" w:cs="Cambria Math"/>
          <w:color w:val="3A3A3A"/>
          <w:sz w:val="23"/>
          <w:szCs w:val="23"/>
          <w:shd w:val="clear" w:color="auto" w:fill="FFFFFF"/>
        </w:rPr>
        <w:t>‐</w:t>
      </w:r>
      <w:r>
        <w:rPr>
          <w:rFonts w:ascii="Source Sans Pro" w:hAnsi="Source Sans Pro"/>
          <w:color w:val="3A3A3A"/>
          <w:sz w:val="23"/>
          <w:szCs w:val="23"/>
          <w:shd w:val="clear" w:color="auto" w:fill="FFFFFF"/>
        </w:rPr>
        <w:t>Blind Study’,</w:t>
      </w:r>
      <w:r>
        <w:rPr>
          <w:rStyle w:val="apple-converted-space"/>
          <w:rFonts w:ascii="Source Sans Pro" w:hAnsi="Source Sans Pro"/>
          <w:color w:val="3A3A3A"/>
          <w:sz w:val="23"/>
          <w:szCs w:val="23"/>
          <w:shd w:val="clear" w:color="auto" w:fill="FFFFFF"/>
        </w:rPr>
        <w:t> </w:t>
      </w:r>
      <w:r>
        <w:rPr>
          <w:rFonts w:ascii="Source Sans Pro" w:hAnsi="Source Sans Pro"/>
          <w:i/>
          <w:iCs/>
          <w:color w:val="3A3A3A"/>
          <w:sz w:val="23"/>
          <w:szCs w:val="23"/>
        </w:rPr>
        <w:t>Dermatologic surgery</w:t>
      </w:r>
      <w:r>
        <w:rPr>
          <w:rFonts w:ascii="Source Sans Pro" w:hAnsi="Source Sans Pro"/>
          <w:color w:val="3A3A3A"/>
          <w:sz w:val="23"/>
          <w:szCs w:val="23"/>
          <w:shd w:val="clear" w:color="auto" w:fill="FFFFFF"/>
        </w:rPr>
        <w:t xml:space="preserve">, 38(6), pp. 867–870. Available at: </w:t>
      </w:r>
      <w:hyperlink r:id="rId5" w:history="1">
        <w:r w:rsidRPr="00457C95">
          <w:rPr>
            <w:rStyle w:val="Hyperlink"/>
            <w:rFonts w:ascii="Source Sans Pro" w:hAnsi="Source Sans Pro"/>
            <w:sz w:val="23"/>
            <w:szCs w:val="23"/>
            <w:shd w:val="clear" w:color="auto" w:fill="FFFFFF"/>
          </w:rPr>
          <w:t>https://doi.org/10.1111/j.1524-4725.2011.02284.x</w:t>
        </w:r>
      </w:hyperlink>
      <w:r>
        <w:rPr>
          <w:rFonts w:ascii="Source Sans Pro" w:hAnsi="Source Sans Pro"/>
          <w:color w:val="3A3A3A"/>
          <w:sz w:val="23"/>
          <w:szCs w:val="23"/>
          <w:shd w:val="clear" w:color="auto" w:fill="FFFFFF"/>
        </w:rPr>
        <w:t xml:space="preserve">. </w:t>
      </w:r>
    </w:p>
    <w:p w14:paraId="36744A12" w14:textId="77777777" w:rsidR="00D30567" w:rsidRDefault="00D30567" w:rsidP="00A57898">
      <w:pPr>
        <w:rPr>
          <w:rFonts w:ascii="Source Sans Pro" w:hAnsi="Source Sans Pro"/>
          <w:color w:val="3A3A3A"/>
          <w:sz w:val="23"/>
          <w:szCs w:val="23"/>
          <w:shd w:val="clear" w:color="auto" w:fill="FFFFFF"/>
        </w:rPr>
      </w:pPr>
    </w:p>
    <w:p w14:paraId="32A17ABB" w14:textId="77777777" w:rsidR="00D30567" w:rsidRDefault="00D30567" w:rsidP="00A57898">
      <w:pPr>
        <w:rPr>
          <w:rFonts w:ascii="Source Sans Pro" w:hAnsi="Source Sans Pro"/>
          <w:color w:val="3A3A3A"/>
          <w:sz w:val="23"/>
          <w:szCs w:val="23"/>
          <w:shd w:val="clear" w:color="auto" w:fill="FFFFFF"/>
        </w:rPr>
      </w:pPr>
      <w:proofErr w:type="spellStart"/>
      <w:r>
        <w:rPr>
          <w:rFonts w:ascii="Source Sans Pro" w:hAnsi="Source Sans Pro"/>
          <w:color w:val="3A3A3A"/>
          <w:sz w:val="23"/>
          <w:szCs w:val="23"/>
          <w:shd w:val="clear" w:color="auto" w:fill="FFFFFF"/>
        </w:rPr>
        <w:t>Felber</w:t>
      </w:r>
      <w:proofErr w:type="spellEnd"/>
      <w:r>
        <w:rPr>
          <w:rFonts w:ascii="Source Sans Pro" w:hAnsi="Source Sans Pro"/>
          <w:color w:val="3A3A3A"/>
          <w:sz w:val="23"/>
          <w:szCs w:val="23"/>
          <w:shd w:val="clear" w:color="auto" w:fill="FFFFFF"/>
        </w:rPr>
        <w:t>, E.S. (2006) ‘Botulinum toxin in primary care medicine’,</w:t>
      </w:r>
      <w:r>
        <w:rPr>
          <w:rStyle w:val="apple-converted-space"/>
          <w:rFonts w:ascii="Source Sans Pro" w:hAnsi="Source Sans Pro"/>
          <w:color w:val="3A3A3A"/>
          <w:sz w:val="23"/>
          <w:szCs w:val="23"/>
          <w:shd w:val="clear" w:color="auto" w:fill="FFFFFF"/>
        </w:rPr>
        <w:t> </w:t>
      </w:r>
      <w:r>
        <w:rPr>
          <w:rFonts w:ascii="Source Sans Pro" w:hAnsi="Source Sans Pro"/>
          <w:i/>
          <w:iCs/>
          <w:color w:val="3A3A3A"/>
          <w:sz w:val="23"/>
          <w:szCs w:val="23"/>
        </w:rPr>
        <w:t>The Journal of the American Osteopathic Association</w:t>
      </w:r>
      <w:r>
        <w:rPr>
          <w:rFonts w:ascii="Source Sans Pro" w:hAnsi="Source Sans Pro"/>
          <w:color w:val="3A3A3A"/>
          <w:sz w:val="23"/>
          <w:szCs w:val="23"/>
          <w:shd w:val="clear" w:color="auto" w:fill="FFFFFF"/>
        </w:rPr>
        <w:t xml:space="preserve">, 106(10). </w:t>
      </w:r>
    </w:p>
    <w:p w14:paraId="0C68BFBB" w14:textId="77777777" w:rsidR="00D30567" w:rsidRDefault="00D30567" w:rsidP="00A57898"/>
    <w:p w14:paraId="77EE2542" w14:textId="77777777" w:rsidR="00D30567" w:rsidRDefault="00D30567" w:rsidP="00A57898">
      <w:pPr>
        <w:rPr>
          <w:rFonts w:ascii="Source Sans Pro" w:hAnsi="Source Sans Pro"/>
          <w:color w:val="3A3A3A"/>
          <w:sz w:val="23"/>
          <w:szCs w:val="23"/>
          <w:shd w:val="clear" w:color="auto" w:fill="FFFFFF"/>
        </w:rPr>
      </w:pPr>
      <w:r>
        <w:rPr>
          <w:rFonts w:ascii="Source Sans Pro" w:hAnsi="Source Sans Pro"/>
          <w:color w:val="3A3A3A"/>
          <w:sz w:val="23"/>
          <w:szCs w:val="23"/>
          <w:shd w:val="clear" w:color="auto" w:fill="FFFFFF"/>
        </w:rPr>
        <w:t>Goddard, R. (2023) ‘A study on the reconstitution of botulinum toxin type A: normal saline versus bacteriostatic saline’,</w:t>
      </w:r>
      <w:r>
        <w:rPr>
          <w:rStyle w:val="apple-converted-space"/>
          <w:rFonts w:ascii="Source Sans Pro" w:hAnsi="Source Sans Pro"/>
          <w:color w:val="3A3A3A"/>
          <w:sz w:val="23"/>
          <w:szCs w:val="23"/>
          <w:shd w:val="clear" w:color="auto" w:fill="FFFFFF"/>
        </w:rPr>
        <w:t> </w:t>
      </w:r>
      <w:r>
        <w:rPr>
          <w:rFonts w:ascii="Source Sans Pro" w:hAnsi="Source Sans Pro"/>
          <w:i/>
          <w:iCs/>
          <w:color w:val="3A3A3A"/>
          <w:sz w:val="23"/>
          <w:szCs w:val="23"/>
        </w:rPr>
        <w:t>Journal of aesthetic nursing</w:t>
      </w:r>
      <w:r>
        <w:rPr>
          <w:rFonts w:ascii="Source Sans Pro" w:hAnsi="Source Sans Pro"/>
          <w:color w:val="3A3A3A"/>
          <w:sz w:val="23"/>
          <w:szCs w:val="23"/>
          <w:shd w:val="clear" w:color="auto" w:fill="FFFFFF"/>
        </w:rPr>
        <w:t xml:space="preserve">, 12(1), pp. 8–18. Available at: </w:t>
      </w:r>
      <w:hyperlink r:id="rId6" w:history="1">
        <w:r w:rsidRPr="00457C95">
          <w:rPr>
            <w:rStyle w:val="Hyperlink"/>
            <w:rFonts w:ascii="Source Sans Pro" w:hAnsi="Source Sans Pro"/>
            <w:sz w:val="23"/>
            <w:szCs w:val="23"/>
            <w:shd w:val="clear" w:color="auto" w:fill="FFFFFF"/>
          </w:rPr>
          <w:t>https://doi.org/10.12968/joan.2023.12.1.8</w:t>
        </w:r>
      </w:hyperlink>
      <w:r>
        <w:rPr>
          <w:rFonts w:ascii="Source Sans Pro" w:hAnsi="Source Sans Pro"/>
          <w:color w:val="3A3A3A"/>
          <w:sz w:val="23"/>
          <w:szCs w:val="23"/>
          <w:shd w:val="clear" w:color="auto" w:fill="FFFFFF"/>
        </w:rPr>
        <w:t xml:space="preserve">. </w:t>
      </w:r>
    </w:p>
    <w:p w14:paraId="17E6C219" w14:textId="77777777" w:rsidR="00D30567" w:rsidRDefault="00D30567" w:rsidP="00A57898">
      <w:pPr>
        <w:rPr>
          <w:rFonts w:ascii="Source Sans Pro" w:hAnsi="Source Sans Pro"/>
          <w:color w:val="3A3A3A"/>
          <w:sz w:val="23"/>
          <w:szCs w:val="23"/>
          <w:shd w:val="clear" w:color="auto" w:fill="FFFFFF"/>
        </w:rPr>
      </w:pPr>
    </w:p>
    <w:p w14:paraId="06184034" w14:textId="77777777" w:rsidR="00D30567" w:rsidRDefault="00D30567" w:rsidP="00A57898">
      <w:pPr>
        <w:rPr>
          <w:rFonts w:ascii="Source Sans Pro" w:hAnsi="Source Sans Pro"/>
          <w:color w:val="3A3A3A"/>
          <w:sz w:val="23"/>
          <w:szCs w:val="23"/>
          <w:shd w:val="clear" w:color="auto" w:fill="FFFFFF"/>
        </w:rPr>
      </w:pPr>
      <w:r>
        <w:rPr>
          <w:rFonts w:ascii="Source Sans Pro" w:hAnsi="Source Sans Pro"/>
          <w:color w:val="3A3A3A"/>
          <w:sz w:val="23"/>
          <w:szCs w:val="23"/>
          <w:shd w:val="clear" w:color="auto" w:fill="FFFFFF"/>
        </w:rPr>
        <w:t>Hunt, S.V. and Malhotra, R. (2022) ‘Bacteriostatic preserved saline for pain-free periocular injections: review’,</w:t>
      </w:r>
      <w:r>
        <w:rPr>
          <w:rStyle w:val="apple-converted-space"/>
          <w:rFonts w:ascii="Source Sans Pro" w:hAnsi="Source Sans Pro"/>
          <w:color w:val="3A3A3A"/>
          <w:sz w:val="23"/>
          <w:szCs w:val="23"/>
          <w:shd w:val="clear" w:color="auto" w:fill="FFFFFF"/>
        </w:rPr>
        <w:t> </w:t>
      </w:r>
      <w:r>
        <w:rPr>
          <w:rFonts w:ascii="Source Sans Pro" w:hAnsi="Source Sans Pro"/>
          <w:i/>
          <w:iCs/>
          <w:color w:val="3A3A3A"/>
          <w:sz w:val="23"/>
          <w:szCs w:val="23"/>
        </w:rPr>
        <w:t>Eye (London)</w:t>
      </w:r>
      <w:r>
        <w:rPr>
          <w:rFonts w:ascii="Source Sans Pro" w:hAnsi="Source Sans Pro"/>
          <w:color w:val="3A3A3A"/>
          <w:sz w:val="23"/>
          <w:szCs w:val="23"/>
          <w:shd w:val="clear" w:color="auto" w:fill="FFFFFF"/>
        </w:rPr>
        <w:t xml:space="preserve">, 36(8), pp. 1546–1552. Available at: </w:t>
      </w:r>
      <w:hyperlink r:id="rId7" w:history="1">
        <w:r w:rsidRPr="00457C95">
          <w:rPr>
            <w:rStyle w:val="Hyperlink"/>
            <w:rFonts w:ascii="Source Sans Pro" w:hAnsi="Source Sans Pro"/>
            <w:sz w:val="23"/>
            <w:szCs w:val="23"/>
            <w:shd w:val="clear" w:color="auto" w:fill="FFFFFF"/>
          </w:rPr>
          <w:t>https://doi.org/10.1038/s41433-021-01925-z</w:t>
        </w:r>
      </w:hyperlink>
      <w:r>
        <w:rPr>
          <w:rFonts w:ascii="Source Sans Pro" w:hAnsi="Source Sans Pro"/>
          <w:color w:val="3A3A3A"/>
          <w:sz w:val="23"/>
          <w:szCs w:val="23"/>
          <w:shd w:val="clear" w:color="auto" w:fill="FFFFFF"/>
        </w:rPr>
        <w:t xml:space="preserve">. </w:t>
      </w:r>
    </w:p>
    <w:p w14:paraId="3FA6C4AD" w14:textId="77777777" w:rsidR="00D30567" w:rsidRDefault="00D30567" w:rsidP="00A57898">
      <w:pPr>
        <w:rPr>
          <w:rFonts w:ascii="Source Sans Pro" w:hAnsi="Source Sans Pro"/>
          <w:color w:val="3A3A3A"/>
          <w:sz w:val="23"/>
          <w:szCs w:val="23"/>
          <w:shd w:val="clear" w:color="auto" w:fill="FFFFFF"/>
        </w:rPr>
      </w:pPr>
    </w:p>
    <w:p w14:paraId="6B63BBAB" w14:textId="77777777" w:rsidR="00D30567" w:rsidRDefault="00D30567" w:rsidP="00A57898">
      <w:pPr>
        <w:rPr>
          <w:rFonts w:ascii="Source Sans Pro" w:hAnsi="Source Sans Pro"/>
          <w:color w:val="3A3A3A"/>
          <w:sz w:val="23"/>
          <w:szCs w:val="23"/>
          <w:shd w:val="clear" w:color="auto" w:fill="FFFFFF"/>
        </w:rPr>
      </w:pPr>
      <w:r>
        <w:rPr>
          <w:rFonts w:ascii="Source Sans Pro" w:hAnsi="Source Sans Pro"/>
          <w:color w:val="3A3A3A"/>
          <w:sz w:val="23"/>
          <w:szCs w:val="23"/>
          <w:shd w:val="clear" w:color="auto" w:fill="FFFFFF"/>
        </w:rPr>
        <w:t>Liu, A.</w:t>
      </w:r>
      <w:r>
        <w:rPr>
          <w:rStyle w:val="apple-converted-space"/>
          <w:rFonts w:ascii="Source Sans Pro" w:hAnsi="Source Sans Pro"/>
          <w:color w:val="3A3A3A"/>
          <w:sz w:val="23"/>
          <w:szCs w:val="23"/>
          <w:shd w:val="clear" w:color="auto" w:fill="FFFFFF"/>
        </w:rPr>
        <w:t> </w:t>
      </w:r>
      <w:r>
        <w:rPr>
          <w:rFonts w:ascii="Source Sans Pro" w:hAnsi="Source Sans Pro"/>
          <w:i/>
          <w:iCs/>
          <w:color w:val="3A3A3A"/>
          <w:sz w:val="23"/>
          <w:szCs w:val="23"/>
        </w:rPr>
        <w:t>et al.</w:t>
      </w:r>
      <w:r>
        <w:rPr>
          <w:rStyle w:val="apple-converted-space"/>
          <w:rFonts w:ascii="Source Sans Pro" w:hAnsi="Source Sans Pro"/>
          <w:color w:val="3A3A3A"/>
          <w:sz w:val="23"/>
          <w:szCs w:val="23"/>
          <w:shd w:val="clear" w:color="auto" w:fill="FFFFFF"/>
        </w:rPr>
        <w:t> </w:t>
      </w:r>
      <w:r>
        <w:rPr>
          <w:rFonts w:ascii="Source Sans Pro" w:hAnsi="Source Sans Pro"/>
          <w:color w:val="3A3A3A"/>
          <w:sz w:val="23"/>
          <w:szCs w:val="23"/>
          <w:shd w:val="clear" w:color="auto" w:fill="FFFFFF"/>
        </w:rPr>
        <w:t>(2012) ‘Recommendations and current practices for the reconstitution and storage of botulinum toxin type A’,</w:t>
      </w:r>
      <w:r>
        <w:rPr>
          <w:rStyle w:val="apple-converted-space"/>
          <w:rFonts w:ascii="Source Sans Pro" w:hAnsi="Source Sans Pro"/>
          <w:color w:val="3A3A3A"/>
          <w:sz w:val="23"/>
          <w:szCs w:val="23"/>
          <w:shd w:val="clear" w:color="auto" w:fill="FFFFFF"/>
        </w:rPr>
        <w:t> </w:t>
      </w:r>
      <w:r>
        <w:rPr>
          <w:rFonts w:ascii="Source Sans Pro" w:hAnsi="Source Sans Pro"/>
          <w:i/>
          <w:iCs/>
          <w:color w:val="3A3A3A"/>
          <w:sz w:val="23"/>
          <w:szCs w:val="23"/>
        </w:rPr>
        <w:t>Journal of the American Academy of Dermatology</w:t>
      </w:r>
      <w:r>
        <w:rPr>
          <w:rFonts w:ascii="Source Sans Pro" w:hAnsi="Source Sans Pro"/>
          <w:color w:val="3A3A3A"/>
          <w:sz w:val="23"/>
          <w:szCs w:val="23"/>
          <w:shd w:val="clear" w:color="auto" w:fill="FFFFFF"/>
        </w:rPr>
        <w:t xml:space="preserve">, 67(3), pp. 373–378. Available at: </w:t>
      </w:r>
      <w:hyperlink r:id="rId8" w:history="1">
        <w:r w:rsidRPr="00457C95">
          <w:rPr>
            <w:rStyle w:val="Hyperlink"/>
            <w:rFonts w:ascii="Source Sans Pro" w:hAnsi="Source Sans Pro"/>
            <w:sz w:val="23"/>
            <w:szCs w:val="23"/>
            <w:shd w:val="clear" w:color="auto" w:fill="FFFFFF"/>
          </w:rPr>
          <w:t>https://doi.org/10.1016/j.jaad.2011.10.008</w:t>
        </w:r>
      </w:hyperlink>
      <w:r>
        <w:rPr>
          <w:rFonts w:ascii="Source Sans Pro" w:hAnsi="Source Sans Pro"/>
          <w:color w:val="3A3A3A"/>
          <w:sz w:val="23"/>
          <w:szCs w:val="23"/>
          <w:shd w:val="clear" w:color="auto" w:fill="FFFFFF"/>
        </w:rPr>
        <w:t xml:space="preserve">. </w:t>
      </w:r>
    </w:p>
    <w:p w14:paraId="0B70A434" w14:textId="77777777" w:rsidR="00D30567" w:rsidRDefault="00D30567" w:rsidP="00A57898">
      <w:pPr>
        <w:rPr>
          <w:rFonts w:ascii="Source Sans Pro" w:hAnsi="Source Sans Pro"/>
          <w:color w:val="3A3A3A"/>
          <w:sz w:val="23"/>
          <w:szCs w:val="23"/>
          <w:shd w:val="clear" w:color="auto" w:fill="FFFFFF"/>
        </w:rPr>
      </w:pPr>
    </w:p>
    <w:p w14:paraId="6C237279" w14:textId="77777777" w:rsidR="00D30567" w:rsidRDefault="00D30567" w:rsidP="00A57898">
      <w:pPr>
        <w:rPr>
          <w:rFonts w:ascii="Source Sans Pro" w:hAnsi="Source Sans Pro"/>
          <w:color w:val="3A3A3A"/>
          <w:sz w:val="23"/>
          <w:szCs w:val="23"/>
          <w:shd w:val="clear" w:color="auto" w:fill="FFFFFF"/>
        </w:rPr>
      </w:pPr>
      <w:proofErr w:type="spellStart"/>
      <w:r>
        <w:rPr>
          <w:rFonts w:ascii="Source Sans Pro" w:hAnsi="Source Sans Pro"/>
          <w:color w:val="3A3A3A"/>
          <w:sz w:val="23"/>
          <w:szCs w:val="23"/>
          <w:shd w:val="clear" w:color="auto" w:fill="FFFFFF"/>
        </w:rPr>
        <w:t>Sarifakioglu</w:t>
      </w:r>
      <w:proofErr w:type="spellEnd"/>
      <w:r>
        <w:rPr>
          <w:rFonts w:ascii="Source Sans Pro" w:hAnsi="Source Sans Pro"/>
          <w:color w:val="3A3A3A"/>
          <w:sz w:val="23"/>
          <w:szCs w:val="23"/>
          <w:shd w:val="clear" w:color="auto" w:fill="FFFFFF"/>
        </w:rPr>
        <w:t xml:space="preserve">, N. and </w:t>
      </w:r>
      <w:proofErr w:type="spellStart"/>
      <w:r>
        <w:rPr>
          <w:rFonts w:ascii="Source Sans Pro" w:hAnsi="Source Sans Pro"/>
          <w:color w:val="3A3A3A"/>
          <w:sz w:val="23"/>
          <w:szCs w:val="23"/>
          <w:shd w:val="clear" w:color="auto" w:fill="FFFFFF"/>
        </w:rPr>
        <w:t>Sarifakioglu</w:t>
      </w:r>
      <w:proofErr w:type="spellEnd"/>
      <w:r>
        <w:rPr>
          <w:rFonts w:ascii="Source Sans Pro" w:hAnsi="Source Sans Pro"/>
          <w:color w:val="3A3A3A"/>
          <w:sz w:val="23"/>
          <w:szCs w:val="23"/>
          <w:shd w:val="clear" w:color="auto" w:fill="FFFFFF"/>
        </w:rPr>
        <w:t>, E. (2005) ‘Evaluating effects of preservative-containing saline solution on pain perception during botulinum toxin type-a injections at different locations: a prospective, single-blinded, randomized controlled trial’,</w:t>
      </w:r>
      <w:r>
        <w:rPr>
          <w:rStyle w:val="apple-converted-space"/>
          <w:rFonts w:ascii="Source Sans Pro" w:hAnsi="Source Sans Pro"/>
          <w:color w:val="3A3A3A"/>
          <w:sz w:val="23"/>
          <w:szCs w:val="23"/>
          <w:shd w:val="clear" w:color="auto" w:fill="FFFFFF"/>
        </w:rPr>
        <w:t> </w:t>
      </w:r>
      <w:r>
        <w:rPr>
          <w:rFonts w:ascii="Source Sans Pro" w:hAnsi="Source Sans Pro"/>
          <w:i/>
          <w:iCs/>
          <w:color w:val="3A3A3A"/>
          <w:sz w:val="23"/>
          <w:szCs w:val="23"/>
        </w:rPr>
        <w:t>Aesthetic plastic surgery</w:t>
      </w:r>
      <w:r>
        <w:rPr>
          <w:rFonts w:ascii="Source Sans Pro" w:hAnsi="Source Sans Pro"/>
          <w:color w:val="3A3A3A"/>
          <w:sz w:val="23"/>
          <w:szCs w:val="23"/>
          <w:shd w:val="clear" w:color="auto" w:fill="FFFFFF"/>
        </w:rPr>
        <w:t xml:space="preserve">, 29(2), pp. 113–115. Available at: </w:t>
      </w:r>
      <w:hyperlink r:id="rId9" w:history="1">
        <w:r w:rsidRPr="00457C95">
          <w:rPr>
            <w:rStyle w:val="Hyperlink"/>
            <w:rFonts w:ascii="Source Sans Pro" w:hAnsi="Source Sans Pro"/>
            <w:sz w:val="23"/>
            <w:szCs w:val="23"/>
            <w:shd w:val="clear" w:color="auto" w:fill="FFFFFF"/>
          </w:rPr>
          <w:t>https://doi.org/10.1007/s00266-004-0062-0</w:t>
        </w:r>
      </w:hyperlink>
      <w:r>
        <w:rPr>
          <w:rFonts w:ascii="Source Sans Pro" w:hAnsi="Source Sans Pro"/>
          <w:color w:val="3A3A3A"/>
          <w:sz w:val="23"/>
          <w:szCs w:val="23"/>
          <w:shd w:val="clear" w:color="auto" w:fill="FFFFFF"/>
        </w:rPr>
        <w:t xml:space="preserve">. </w:t>
      </w:r>
    </w:p>
    <w:p w14:paraId="7D1BADF0" w14:textId="77777777" w:rsidR="00D30567" w:rsidRDefault="00D30567" w:rsidP="00A57898">
      <w:pPr>
        <w:rPr>
          <w:rFonts w:ascii="Source Sans Pro" w:hAnsi="Source Sans Pro"/>
          <w:color w:val="3A3A3A"/>
          <w:sz w:val="23"/>
          <w:szCs w:val="23"/>
          <w:shd w:val="clear" w:color="auto" w:fill="FFFFFF"/>
        </w:rPr>
      </w:pPr>
    </w:p>
    <w:p w14:paraId="26EB869E" w14:textId="77777777" w:rsidR="00D30567" w:rsidRDefault="00D30567" w:rsidP="00A57898">
      <w:pPr>
        <w:rPr>
          <w:rFonts w:ascii="Source Sans Pro" w:hAnsi="Source Sans Pro"/>
          <w:color w:val="3A3A3A"/>
          <w:sz w:val="23"/>
          <w:szCs w:val="23"/>
          <w:shd w:val="clear" w:color="auto" w:fill="FFFFFF"/>
        </w:rPr>
      </w:pPr>
      <w:proofErr w:type="spellStart"/>
      <w:r>
        <w:rPr>
          <w:rFonts w:ascii="Source Sans Pro" w:hAnsi="Source Sans Pro"/>
          <w:color w:val="3A3A3A"/>
          <w:sz w:val="23"/>
          <w:szCs w:val="23"/>
          <w:shd w:val="clear" w:color="auto" w:fill="FFFFFF"/>
        </w:rPr>
        <w:t>Traill</w:t>
      </w:r>
      <w:proofErr w:type="spellEnd"/>
      <w:r>
        <w:rPr>
          <w:rFonts w:ascii="Source Sans Pro" w:hAnsi="Source Sans Pro"/>
          <w:color w:val="3A3A3A"/>
          <w:sz w:val="23"/>
          <w:szCs w:val="23"/>
          <w:shd w:val="clear" w:color="auto" w:fill="FFFFFF"/>
        </w:rPr>
        <w:t xml:space="preserve">, F.T., Williams, A. and </w:t>
      </w:r>
      <w:proofErr w:type="spellStart"/>
      <w:r>
        <w:rPr>
          <w:rFonts w:ascii="Source Sans Pro" w:hAnsi="Source Sans Pro"/>
          <w:color w:val="3A3A3A"/>
          <w:sz w:val="23"/>
          <w:szCs w:val="23"/>
          <w:shd w:val="clear" w:color="auto" w:fill="FFFFFF"/>
        </w:rPr>
        <w:t>Beaumount</w:t>
      </w:r>
      <w:proofErr w:type="spellEnd"/>
      <w:r>
        <w:rPr>
          <w:rFonts w:ascii="Source Sans Pro" w:hAnsi="Source Sans Pro"/>
          <w:color w:val="3A3A3A"/>
          <w:sz w:val="23"/>
          <w:szCs w:val="23"/>
          <w:shd w:val="clear" w:color="auto" w:fill="FFFFFF"/>
        </w:rPr>
        <w:t>-Thomas, T. (2012) ‘Reconstitution of botulinum toxins: preserved saline versus normal saline’,</w:t>
      </w:r>
      <w:r>
        <w:rPr>
          <w:rStyle w:val="apple-converted-space"/>
          <w:rFonts w:ascii="Source Sans Pro" w:hAnsi="Source Sans Pro"/>
          <w:color w:val="3A3A3A"/>
          <w:sz w:val="23"/>
          <w:szCs w:val="23"/>
          <w:shd w:val="clear" w:color="auto" w:fill="FFFFFF"/>
        </w:rPr>
        <w:t> </w:t>
      </w:r>
      <w:r>
        <w:rPr>
          <w:rFonts w:ascii="Source Sans Pro" w:hAnsi="Source Sans Pro"/>
          <w:i/>
          <w:iCs/>
          <w:color w:val="3A3A3A"/>
          <w:sz w:val="23"/>
          <w:szCs w:val="23"/>
        </w:rPr>
        <w:t>Journal of aesthetic nursing</w:t>
      </w:r>
      <w:r>
        <w:rPr>
          <w:rFonts w:ascii="Source Sans Pro" w:hAnsi="Source Sans Pro"/>
          <w:color w:val="3A3A3A"/>
          <w:sz w:val="23"/>
          <w:szCs w:val="23"/>
          <w:shd w:val="clear" w:color="auto" w:fill="FFFFFF"/>
        </w:rPr>
        <w:t xml:space="preserve">, 1(5), pp. 246–249. Available at: </w:t>
      </w:r>
      <w:hyperlink r:id="rId10" w:history="1">
        <w:r w:rsidRPr="00457C95">
          <w:rPr>
            <w:rStyle w:val="Hyperlink"/>
            <w:rFonts w:ascii="Source Sans Pro" w:hAnsi="Source Sans Pro"/>
            <w:sz w:val="23"/>
            <w:szCs w:val="23"/>
            <w:shd w:val="clear" w:color="auto" w:fill="FFFFFF"/>
          </w:rPr>
          <w:t>https://doi.org/10.12968/joan.2012.1.5.246</w:t>
        </w:r>
      </w:hyperlink>
      <w:r>
        <w:rPr>
          <w:rFonts w:ascii="Source Sans Pro" w:hAnsi="Source Sans Pro"/>
          <w:color w:val="3A3A3A"/>
          <w:sz w:val="23"/>
          <w:szCs w:val="23"/>
          <w:shd w:val="clear" w:color="auto" w:fill="FFFFFF"/>
        </w:rPr>
        <w:t xml:space="preserve">. </w:t>
      </w:r>
    </w:p>
    <w:p w14:paraId="166A3486" w14:textId="77777777" w:rsidR="00386F5F" w:rsidRPr="00A57898" w:rsidRDefault="00386F5F" w:rsidP="00A57898"/>
    <w:sectPr w:rsidR="00386F5F" w:rsidRPr="00A578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98"/>
    <w:rsid w:val="0011783F"/>
    <w:rsid w:val="00386F5F"/>
    <w:rsid w:val="005653B8"/>
    <w:rsid w:val="00867001"/>
    <w:rsid w:val="00A57898"/>
    <w:rsid w:val="00AA335E"/>
    <w:rsid w:val="00C65E30"/>
    <w:rsid w:val="00C81011"/>
    <w:rsid w:val="00D30567"/>
    <w:rsid w:val="00E01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E949"/>
  <w15:chartTrackingRefBased/>
  <w15:docId w15:val="{5877637B-B67A-F840-9574-32C6C002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7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78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78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8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8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8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8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8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8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8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8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8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8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8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8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8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898"/>
    <w:rPr>
      <w:rFonts w:eastAsiaTheme="majorEastAsia" w:cstheme="majorBidi"/>
      <w:color w:val="272727" w:themeColor="text1" w:themeTint="D8"/>
    </w:rPr>
  </w:style>
  <w:style w:type="paragraph" w:styleId="Title">
    <w:name w:val="Title"/>
    <w:basedOn w:val="Normal"/>
    <w:next w:val="Normal"/>
    <w:link w:val="TitleChar"/>
    <w:uiPriority w:val="10"/>
    <w:qFormat/>
    <w:rsid w:val="00A578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8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8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8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8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7898"/>
    <w:rPr>
      <w:i/>
      <w:iCs/>
      <w:color w:val="404040" w:themeColor="text1" w:themeTint="BF"/>
    </w:rPr>
  </w:style>
  <w:style w:type="paragraph" w:styleId="ListParagraph">
    <w:name w:val="List Paragraph"/>
    <w:basedOn w:val="Normal"/>
    <w:uiPriority w:val="34"/>
    <w:qFormat/>
    <w:rsid w:val="00A57898"/>
    <w:pPr>
      <w:ind w:left="720"/>
      <w:contextualSpacing/>
    </w:pPr>
  </w:style>
  <w:style w:type="character" w:styleId="IntenseEmphasis">
    <w:name w:val="Intense Emphasis"/>
    <w:basedOn w:val="DefaultParagraphFont"/>
    <w:uiPriority w:val="21"/>
    <w:qFormat/>
    <w:rsid w:val="00A57898"/>
    <w:rPr>
      <w:i/>
      <w:iCs/>
      <w:color w:val="0F4761" w:themeColor="accent1" w:themeShade="BF"/>
    </w:rPr>
  </w:style>
  <w:style w:type="paragraph" w:styleId="IntenseQuote">
    <w:name w:val="Intense Quote"/>
    <w:basedOn w:val="Normal"/>
    <w:next w:val="Normal"/>
    <w:link w:val="IntenseQuoteChar"/>
    <w:uiPriority w:val="30"/>
    <w:qFormat/>
    <w:rsid w:val="00A57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898"/>
    <w:rPr>
      <w:i/>
      <w:iCs/>
      <w:color w:val="0F4761" w:themeColor="accent1" w:themeShade="BF"/>
    </w:rPr>
  </w:style>
  <w:style w:type="character" w:styleId="IntenseReference">
    <w:name w:val="Intense Reference"/>
    <w:basedOn w:val="DefaultParagraphFont"/>
    <w:uiPriority w:val="32"/>
    <w:qFormat/>
    <w:rsid w:val="00A57898"/>
    <w:rPr>
      <w:b/>
      <w:bCs/>
      <w:smallCaps/>
      <w:color w:val="0F4761" w:themeColor="accent1" w:themeShade="BF"/>
      <w:spacing w:val="5"/>
    </w:rPr>
  </w:style>
  <w:style w:type="character" w:styleId="Hyperlink">
    <w:name w:val="Hyperlink"/>
    <w:basedOn w:val="DefaultParagraphFont"/>
    <w:uiPriority w:val="99"/>
    <w:unhideWhenUsed/>
    <w:rsid w:val="00AA335E"/>
    <w:rPr>
      <w:color w:val="467886" w:themeColor="hyperlink"/>
      <w:u w:val="single"/>
    </w:rPr>
  </w:style>
  <w:style w:type="character" w:styleId="UnresolvedMention">
    <w:name w:val="Unresolved Mention"/>
    <w:basedOn w:val="DefaultParagraphFont"/>
    <w:uiPriority w:val="99"/>
    <w:semiHidden/>
    <w:unhideWhenUsed/>
    <w:rsid w:val="00AA335E"/>
    <w:rPr>
      <w:color w:val="605E5C"/>
      <w:shd w:val="clear" w:color="auto" w:fill="E1DFDD"/>
    </w:rPr>
  </w:style>
  <w:style w:type="character" w:customStyle="1" w:styleId="apple-converted-space">
    <w:name w:val="apple-converted-space"/>
    <w:basedOn w:val="DefaultParagraphFont"/>
    <w:rsid w:val="0011783F"/>
  </w:style>
  <w:style w:type="character" w:styleId="FollowedHyperlink">
    <w:name w:val="FollowedHyperlink"/>
    <w:basedOn w:val="DefaultParagraphFont"/>
    <w:uiPriority w:val="99"/>
    <w:semiHidden/>
    <w:unhideWhenUsed/>
    <w:rsid w:val="0011783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ad.2011.10.008" TargetMode="External"/><Relationship Id="rId3" Type="http://schemas.openxmlformats.org/officeDocument/2006/relationships/webSettings" Target="webSettings.xml"/><Relationship Id="rId7" Type="http://schemas.openxmlformats.org/officeDocument/2006/relationships/hyperlink" Target="https://doi.org/10.1038/s41433-021-01925-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2968/joan.2023.12.1.8" TargetMode="External"/><Relationship Id="rId11" Type="http://schemas.openxmlformats.org/officeDocument/2006/relationships/fontTable" Target="fontTable.xml"/><Relationship Id="rId5" Type="http://schemas.openxmlformats.org/officeDocument/2006/relationships/hyperlink" Target="https://doi.org/10.1111/j.1524-4725.2011.02284.x" TargetMode="External"/><Relationship Id="rId10" Type="http://schemas.openxmlformats.org/officeDocument/2006/relationships/hyperlink" Target="https://doi.org/10.12968/joan.2012.1.5.246" TargetMode="External"/><Relationship Id="rId4" Type="http://schemas.openxmlformats.org/officeDocument/2006/relationships/image" Target="media/image1.png"/><Relationship Id="rId9" Type="http://schemas.openxmlformats.org/officeDocument/2006/relationships/hyperlink" Target="https://doi.org/10.1007/s00266-004-00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Duffy</dc:creator>
  <cp:keywords/>
  <dc:description/>
  <cp:lastModifiedBy>Robyn Duffy</cp:lastModifiedBy>
  <cp:revision>2</cp:revision>
  <dcterms:created xsi:type="dcterms:W3CDTF">2024-01-21T21:02:00Z</dcterms:created>
  <dcterms:modified xsi:type="dcterms:W3CDTF">2024-02-02T12:42:00Z</dcterms:modified>
</cp:coreProperties>
</file>